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17" w:rsidRPr="007B6127" w:rsidRDefault="008410C1">
      <w:pPr>
        <w:pStyle w:val="Heading1"/>
        <w:spacing w:before="72" w:line="240" w:lineRule="auto"/>
        <w:ind w:left="3648" w:right="3644"/>
        <w:jc w:val="center"/>
      </w:pPr>
      <w:r w:rsidRPr="007B6127">
        <w:t>Opłata adiacencka</w:t>
      </w:r>
    </w:p>
    <w:p w:rsidR="00D71F17" w:rsidRPr="007B6127" w:rsidRDefault="00D71F17">
      <w:pPr>
        <w:pStyle w:val="Tekstpodstawowy"/>
        <w:ind w:left="0"/>
        <w:rPr>
          <w:b/>
        </w:rPr>
      </w:pPr>
    </w:p>
    <w:p w:rsidR="00D71F17" w:rsidRPr="007B6127" w:rsidRDefault="008410C1" w:rsidP="002A07FC">
      <w:pPr>
        <w:spacing w:line="274" w:lineRule="exact"/>
        <w:ind w:left="115"/>
        <w:jc w:val="both"/>
        <w:rPr>
          <w:b/>
          <w:sz w:val="24"/>
        </w:rPr>
      </w:pPr>
      <w:r w:rsidRPr="007B6127">
        <w:rPr>
          <w:b/>
          <w:sz w:val="24"/>
        </w:rPr>
        <w:t>Dotyczy:</w:t>
      </w:r>
    </w:p>
    <w:p w:rsidR="00D71F17" w:rsidRPr="007B6127" w:rsidRDefault="008410C1" w:rsidP="002A07FC">
      <w:pPr>
        <w:pStyle w:val="Tekstpodstawowy"/>
        <w:jc w:val="both"/>
      </w:pPr>
      <w:r w:rsidRPr="007B6127">
        <w:t>Naliczania opłaty adiacenckiej z tytułu wzrostu wartości nieruchomości w wyniku wybudowania urządzeń infrastruktury technicznej lub w wyniku podziału nieruchomości.</w:t>
      </w:r>
    </w:p>
    <w:p w:rsidR="00D71F17" w:rsidRPr="007B6127" w:rsidRDefault="00D71F17" w:rsidP="002A07FC">
      <w:pPr>
        <w:pStyle w:val="Tekstpodstawowy"/>
        <w:spacing w:before="3"/>
        <w:ind w:left="0"/>
        <w:jc w:val="both"/>
      </w:pPr>
    </w:p>
    <w:p w:rsidR="00D71F17" w:rsidRPr="007B6127" w:rsidRDefault="008410C1" w:rsidP="002A07FC">
      <w:pPr>
        <w:pStyle w:val="Heading1"/>
        <w:jc w:val="both"/>
      </w:pPr>
      <w:r w:rsidRPr="007B6127">
        <w:t>Wymagane dokumenty:</w:t>
      </w:r>
    </w:p>
    <w:p w:rsidR="00D71F17" w:rsidRPr="007B6127" w:rsidRDefault="008410C1" w:rsidP="002A07FC">
      <w:pPr>
        <w:pStyle w:val="Tekstpodstawowy"/>
        <w:spacing w:line="274" w:lineRule="exact"/>
        <w:jc w:val="both"/>
      </w:pPr>
      <w:r w:rsidRPr="007B6127">
        <w:t>Ustalenie opłaty może nastąpić w terminie 3 lat od dnia, w którym:</w:t>
      </w:r>
    </w:p>
    <w:p w:rsidR="00D71F17" w:rsidRPr="007B6127" w:rsidRDefault="008410C1" w:rsidP="002A07FC">
      <w:pPr>
        <w:pStyle w:val="Akapitzlist"/>
        <w:numPr>
          <w:ilvl w:val="0"/>
          <w:numId w:val="3"/>
        </w:numPr>
        <w:tabs>
          <w:tab w:val="left" w:pos="407"/>
        </w:tabs>
        <w:ind w:right="110"/>
        <w:jc w:val="both"/>
        <w:rPr>
          <w:sz w:val="24"/>
        </w:rPr>
      </w:pPr>
      <w:r w:rsidRPr="007B6127">
        <w:rPr>
          <w:sz w:val="24"/>
        </w:rPr>
        <w:t>stworzono warunki do podłączenia nieruchomości do poszczególnych urządzeń infrastruktury   technicznej   albo    od    dnia    stworzenia    warunków    do    korzystania z wybudowanej drogi,</w:t>
      </w:r>
    </w:p>
    <w:p w:rsidR="002A07FC" w:rsidRDefault="007B6127" w:rsidP="002A07FC">
      <w:pPr>
        <w:tabs>
          <w:tab w:val="left" w:pos="476"/>
        </w:tabs>
        <w:ind w:right="109"/>
        <w:jc w:val="both"/>
        <w:rPr>
          <w:sz w:val="24"/>
        </w:rPr>
      </w:pPr>
      <w:r>
        <w:rPr>
          <w:sz w:val="24"/>
        </w:rPr>
        <w:t xml:space="preserve">  2) </w:t>
      </w:r>
      <w:r w:rsidR="008410C1" w:rsidRPr="007B6127">
        <w:rPr>
          <w:sz w:val="24"/>
        </w:rPr>
        <w:t xml:space="preserve">decyzja  zatwierdzająca  podział  nieruchomości  stała  się  ostateczna  albo  orzeczenie   </w:t>
      </w:r>
      <w:r w:rsidR="002A07FC">
        <w:rPr>
          <w:sz w:val="24"/>
        </w:rPr>
        <w:t xml:space="preserve">   </w:t>
      </w:r>
      <w:r w:rsidR="008410C1" w:rsidRPr="007B6127">
        <w:rPr>
          <w:sz w:val="24"/>
        </w:rPr>
        <w:t xml:space="preserve"> </w:t>
      </w:r>
      <w:r w:rsidR="002A07FC">
        <w:rPr>
          <w:sz w:val="24"/>
        </w:rPr>
        <w:t xml:space="preserve">   </w:t>
      </w:r>
    </w:p>
    <w:p w:rsidR="00D71F17" w:rsidRPr="007B6127" w:rsidRDefault="002A07FC" w:rsidP="002A07FC">
      <w:pPr>
        <w:tabs>
          <w:tab w:val="left" w:pos="476"/>
        </w:tabs>
        <w:ind w:right="109"/>
        <w:jc w:val="both"/>
        <w:rPr>
          <w:sz w:val="24"/>
        </w:rPr>
      </w:pPr>
      <w:r>
        <w:rPr>
          <w:sz w:val="24"/>
        </w:rPr>
        <w:t xml:space="preserve">       </w:t>
      </w:r>
      <w:r w:rsidR="008410C1" w:rsidRPr="007B6127">
        <w:rPr>
          <w:sz w:val="24"/>
        </w:rPr>
        <w:t>o podziale stało się</w:t>
      </w:r>
      <w:r w:rsidR="008410C1" w:rsidRPr="007B6127">
        <w:rPr>
          <w:spacing w:val="-3"/>
          <w:sz w:val="24"/>
        </w:rPr>
        <w:t xml:space="preserve"> </w:t>
      </w:r>
      <w:r w:rsidR="008410C1" w:rsidRPr="007B6127">
        <w:rPr>
          <w:sz w:val="24"/>
        </w:rPr>
        <w:t>prawomocne.</w:t>
      </w:r>
    </w:p>
    <w:p w:rsidR="00D71F17" w:rsidRPr="007B6127" w:rsidRDefault="00D71F17" w:rsidP="002A07FC">
      <w:pPr>
        <w:pStyle w:val="Tekstpodstawowy"/>
        <w:spacing w:before="5"/>
        <w:ind w:left="0"/>
        <w:jc w:val="both"/>
      </w:pPr>
    </w:p>
    <w:p w:rsidR="00D71F17" w:rsidRPr="007B6127" w:rsidRDefault="008410C1" w:rsidP="002A07FC">
      <w:pPr>
        <w:pStyle w:val="Heading1"/>
        <w:jc w:val="both"/>
      </w:pPr>
      <w:r w:rsidRPr="007B6127">
        <w:t>Opłaty:</w:t>
      </w:r>
    </w:p>
    <w:p w:rsidR="00D71F17" w:rsidRPr="007B6127" w:rsidRDefault="008410C1" w:rsidP="002A07FC">
      <w:pPr>
        <w:pStyle w:val="Tekstpodstawowy"/>
        <w:spacing w:line="274" w:lineRule="exact"/>
        <w:jc w:val="both"/>
      </w:pPr>
      <w:r w:rsidRPr="007B6127">
        <w:t>Nie podlega opłacie skarbowej.</w:t>
      </w:r>
    </w:p>
    <w:p w:rsidR="00D71F17" w:rsidRPr="007B6127" w:rsidRDefault="00D71F17" w:rsidP="002A07FC">
      <w:pPr>
        <w:pStyle w:val="Tekstpodstawowy"/>
        <w:spacing w:before="5"/>
        <w:ind w:left="0"/>
        <w:jc w:val="both"/>
      </w:pPr>
    </w:p>
    <w:p w:rsidR="00D71F17" w:rsidRPr="007B6127" w:rsidRDefault="008410C1" w:rsidP="002A07FC">
      <w:pPr>
        <w:pStyle w:val="Heading1"/>
        <w:jc w:val="both"/>
      </w:pPr>
      <w:r w:rsidRPr="007B6127">
        <w:t>Miejsce złożenia dokumentów:</w:t>
      </w:r>
    </w:p>
    <w:p w:rsidR="00D71F17" w:rsidRPr="007B6127" w:rsidRDefault="008410C1" w:rsidP="002A07FC">
      <w:pPr>
        <w:pStyle w:val="Tekstpodstawowy"/>
        <w:spacing w:line="274" w:lineRule="exact"/>
        <w:jc w:val="both"/>
      </w:pPr>
      <w:r w:rsidRPr="007B6127">
        <w:t>Postępowanie wszczynane jest z urzędu.</w:t>
      </w:r>
    </w:p>
    <w:p w:rsidR="00D71F17" w:rsidRPr="007B6127" w:rsidRDefault="00D71F17" w:rsidP="002A07FC">
      <w:pPr>
        <w:pStyle w:val="Tekstpodstawowy"/>
        <w:spacing w:before="4"/>
        <w:ind w:left="0"/>
        <w:jc w:val="both"/>
      </w:pPr>
    </w:p>
    <w:p w:rsidR="00D71F17" w:rsidRPr="007B6127" w:rsidRDefault="008410C1" w:rsidP="002A07FC">
      <w:pPr>
        <w:pStyle w:val="Heading1"/>
        <w:spacing w:before="1"/>
        <w:jc w:val="both"/>
      </w:pPr>
      <w:r w:rsidRPr="007B6127">
        <w:t>Termin i sposób załatwienia sprawy:</w:t>
      </w:r>
    </w:p>
    <w:p w:rsidR="00D71F17" w:rsidRPr="007B6127" w:rsidRDefault="008410C1" w:rsidP="002A07FC">
      <w:pPr>
        <w:pStyle w:val="Tekstpodstawowy"/>
        <w:spacing w:line="274" w:lineRule="exact"/>
        <w:jc w:val="both"/>
      </w:pPr>
      <w:r w:rsidRPr="007B6127">
        <w:t>Rozeznanie prawne nieruchomości.</w:t>
      </w:r>
      <w:r w:rsidR="002A07FC">
        <w:t xml:space="preserve"> </w:t>
      </w:r>
      <w:r w:rsidRPr="007B6127">
        <w:t>Zawiado</w:t>
      </w:r>
      <w:r w:rsidR="002A07FC">
        <w:t xml:space="preserve">mienie o wszczęciu postępowania </w:t>
      </w:r>
      <w:r w:rsidRPr="007B6127">
        <w:t>administracyjnego w przedmiocie ustalenia opłaty adiacenckiej.</w:t>
      </w:r>
      <w:r w:rsidR="002A07FC">
        <w:t xml:space="preserve"> </w:t>
      </w:r>
      <w:r w:rsidRPr="007B6127">
        <w:t>Zebranie</w:t>
      </w:r>
      <w:r w:rsidR="002A07FC">
        <w:t xml:space="preserve"> </w:t>
      </w:r>
      <w:r w:rsidRPr="007B6127">
        <w:t>materi</w:t>
      </w:r>
      <w:r w:rsidR="002A07FC">
        <w:t xml:space="preserve">ału dowodowego, w tym wykonanie operatu szacunkowego </w:t>
      </w:r>
      <w:r w:rsidRPr="007B6127">
        <w:rPr>
          <w:spacing w:val="-4"/>
        </w:rPr>
        <w:t xml:space="preserve">przez </w:t>
      </w:r>
      <w:r w:rsidRPr="007B6127">
        <w:t>rzeczoznawcę</w:t>
      </w:r>
      <w:r w:rsidRPr="007B6127">
        <w:rPr>
          <w:spacing w:val="-2"/>
        </w:rPr>
        <w:t xml:space="preserve"> </w:t>
      </w:r>
      <w:r w:rsidRPr="007B6127">
        <w:t>majątkowego.</w:t>
      </w:r>
      <w:r w:rsidR="002A07FC">
        <w:t xml:space="preserve"> </w:t>
      </w:r>
      <w:r w:rsidRPr="007B6127">
        <w:t>Postępowanie kończy się wydaniem decyzji administracyjnej.</w:t>
      </w:r>
    </w:p>
    <w:p w:rsidR="00D71F17" w:rsidRPr="007B6127" w:rsidRDefault="00D71F17" w:rsidP="002A07FC">
      <w:pPr>
        <w:pStyle w:val="Tekstpodstawowy"/>
        <w:ind w:left="0"/>
        <w:jc w:val="both"/>
      </w:pPr>
    </w:p>
    <w:p w:rsidR="00D71F17" w:rsidRPr="007B6127" w:rsidRDefault="008410C1" w:rsidP="002A07FC">
      <w:pPr>
        <w:pStyle w:val="Tekstpodstawowy"/>
        <w:jc w:val="both"/>
      </w:pPr>
      <w:r w:rsidRPr="007B6127">
        <w:t>Wysokość stawek procentowych opłaty adiacenckiej:</w:t>
      </w:r>
    </w:p>
    <w:p w:rsidR="00D71F17" w:rsidRPr="007B6127" w:rsidRDefault="002A07FC" w:rsidP="002A07FC">
      <w:pPr>
        <w:pStyle w:val="Akapitzlist"/>
        <w:numPr>
          <w:ilvl w:val="0"/>
          <w:numId w:val="2"/>
        </w:numPr>
        <w:tabs>
          <w:tab w:val="left" w:pos="407"/>
        </w:tabs>
        <w:ind w:hanging="292"/>
        <w:jc w:val="both"/>
        <w:rPr>
          <w:sz w:val="24"/>
        </w:rPr>
      </w:pPr>
      <w:r>
        <w:rPr>
          <w:sz w:val="24"/>
        </w:rPr>
        <w:t>25</w:t>
      </w:r>
      <w:r w:rsidR="008410C1" w:rsidRPr="007B6127">
        <w:rPr>
          <w:sz w:val="24"/>
        </w:rPr>
        <w:t>% - budowa urządzeń infrastruktury</w:t>
      </w:r>
      <w:r w:rsidR="008410C1" w:rsidRPr="007B6127">
        <w:rPr>
          <w:spacing w:val="-9"/>
          <w:sz w:val="24"/>
        </w:rPr>
        <w:t xml:space="preserve"> </w:t>
      </w:r>
      <w:r w:rsidR="008410C1" w:rsidRPr="007B6127">
        <w:rPr>
          <w:sz w:val="24"/>
        </w:rPr>
        <w:t>technicznej,</w:t>
      </w:r>
    </w:p>
    <w:p w:rsidR="00D71F17" w:rsidRPr="007B6127" w:rsidRDefault="002A07FC" w:rsidP="002A07FC">
      <w:pPr>
        <w:pStyle w:val="Akapitzlist"/>
        <w:numPr>
          <w:ilvl w:val="0"/>
          <w:numId w:val="2"/>
        </w:numPr>
        <w:tabs>
          <w:tab w:val="left" w:pos="407"/>
        </w:tabs>
        <w:ind w:hanging="292"/>
        <w:jc w:val="both"/>
        <w:rPr>
          <w:sz w:val="24"/>
        </w:rPr>
      </w:pPr>
      <w:r>
        <w:rPr>
          <w:sz w:val="24"/>
        </w:rPr>
        <w:t>2</w:t>
      </w:r>
      <w:r w:rsidR="008410C1" w:rsidRPr="007B6127">
        <w:rPr>
          <w:sz w:val="24"/>
        </w:rPr>
        <w:t>0% - podziały geodezyjne</w:t>
      </w:r>
      <w:r w:rsidR="008410C1" w:rsidRPr="007B6127">
        <w:rPr>
          <w:spacing w:val="-7"/>
          <w:sz w:val="24"/>
        </w:rPr>
        <w:t xml:space="preserve"> </w:t>
      </w:r>
      <w:r w:rsidR="008410C1" w:rsidRPr="007B6127">
        <w:rPr>
          <w:sz w:val="24"/>
        </w:rPr>
        <w:t>nieruchomości.</w:t>
      </w:r>
    </w:p>
    <w:p w:rsidR="002A07FC" w:rsidRDefault="002A07FC" w:rsidP="002A07FC">
      <w:pPr>
        <w:pStyle w:val="Tekstpodstawowy"/>
        <w:ind w:left="0"/>
        <w:jc w:val="both"/>
      </w:pPr>
      <w:r>
        <w:rPr>
          <w:sz w:val="26"/>
        </w:rPr>
        <w:t xml:space="preserve">  </w:t>
      </w:r>
      <w:r w:rsidRPr="002A07FC">
        <w:t xml:space="preserve">Zgodnie z uchwałą nr XXIV/304/2020 Rady Miejskiej w Bornem Sulinowie z dnia 24 </w:t>
      </w:r>
      <w:r>
        <w:t xml:space="preserve">  </w:t>
      </w:r>
    </w:p>
    <w:p w:rsidR="00D71F17" w:rsidRPr="002A07FC" w:rsidRDefault="002A07FC" w:rsidP="002A07FC">
      <w:pPr>
        <w:pStyle w:val="Tekstpodstawowy"/>
        <w:ind w:left="0"/>
        <w:jc w:val="both"/>
      </w:pPr>
      <w:r>
        <w:t xml:space="preserve">  </w:t>
      </w:r>
      <w:r w:rsidRPr="002A07FC">
        <w:t>września 2020r.</w:t>
      </w:r>
    </w:p>
    <w:p w:rsidR="00D71F17" w:rsidRPr="007B6127" w:rsidRDefault="00D71F17" w:rsidP="002A07FC">
      <w:pPr>
        <w:pStyle w:val="Tekstpodstawowy"/>
        <w:spacing w:before="5"/>
        <w:ind w:left="0"/>
        <w:jc w:val="both"/>
        <w:rPr>
          <w:sz w:val="22"/>
        </w:rPr>
      </w:pPr>
    </w:p>
    <w:p w:rsidR="00D71F17" w:rsidRPr="007B6127" w:rsidRDefault="008410C1" w:rsidP="002A07FC">
      <w:pPr>
        <w:pStyle w:val="Heading1"/>
        <w:jc w:val="both"/>
      </w:pPr>
      <w:r w:rsidRPr="007B6127">
        <w:t>Tryb odwoławczy:</w:t>
      </w:r>
    </w:p>
    <w:p w:rsidR="00D71F17" w:rsidRPr="007B6127" w:rsidRDefault="008410C1" w:rsidP="002A07FC">
      <w:pPr>
        <w:pStyle w:val="Tekstpodstawowy"/>
        <w:ind w:left="116" w:right="111"/>
        <w:jc w:val="both"/>
      </w:pPr>
      <w:r w:rsidRPr="007B6127">
        <w:t>Od   decyzji   przysługuje   odwołanie   do   Samorządowego   Kolegium   Odwoławczego     w Koszalinie w terminie 14 dni od daty jej doręczenia. Odwołanie składa się na piśmie za pośrednictwem Burmistrza Bornego</w:t>
      </w:r>
      <w:r w:rsidRPr="007B6127">
        <w:rPr>
          <w:spacing w:val="1"/>
        </w:rPr>
        <w:t xml:space="preserve"> </w:t>
      </w:r>
      <w:r w:rsidRPr="007B6127">
        <w:t>Sulinowa.</w:t>
      </w:r>
    </w:p>
    <w:p w:rsidR="00D71F17" w:rsidRPr="007B6127" w:rsidRDefault="00D71F17" w:rsidP="002A07FC">
      <w:pPr>
        <w:pStyle w:val="Tekstpodstawowy"/>
        <w:spacing w:before="2"/>
        <w:ind w:left="0"/>
        <w:jc w:val="both"/>
      </w:pPr>
    </w:p>
    <w:p w:rsidR="00D71F17" w:rsidRPr="007B6127" w:rsidRDefault="008410C1" w:rsidP="002A07FC">
      <w:pPr>
        <w:pStyle w:val="Heading1"/>
        <w:jc w:val="both"/>
      </w:pPr>
      <w:r w:rsidRPr="007B6127">
        <w:t>Jednostka odpowiedzialna:</w:t>
      </w:r>
    </w:p>
    <w:p w:rsidR="00B94EB0" w:rsidRDefault="008410C1" w:rsidP="002A07FC">
      <w:pPr>
        <w:pStyle w:val="Tekstpodstawowy"/>
        <w:ind w:right="1540"/>
        <w:jc w:val="both"/>
      </w:pPr>
      <w:r w:rsidRPr="007B6127">
        <w:t xml:space="preserve">Kierownik Referatu Gospodarki Nieruchomościami </w:t>
      </w:r>
    </w:p>
    <w:p w:rsidR="00D71F17" w:rsidRPr="007B6127" w:rsidRDefault="00B94EB0" w:rsidP="002A07FC">
      <w:pPr>
        <w:pStyle w:val="Tekstpodstawowy"/>
        <w:ind w:right="1540"/>
        <w:jc w:val="both"/>
      </w:pPr>
      <w:r>
        <w:t>pok. nr 15</w:t>
      </w:r>
      <w:r w:rsidR="007B6127">
        <w:t xml:space="preserve">, </w:t>
      </w:r>
      <w:r w:rsidR="008410C1" w:rsidRPr="007B6127">
        <w:t>tel. 94 37-34-151</w:t>
      </w:r>
    </w:p>
    <w:p w:rsidR="00D71F17" w:rsidRPr="007B6127" w:rsidRDefault="00D71F17" w:rsidP="002A07FC">
      <w:pPr>
        <w:pStyle w:val="Tekstpodstawowy"/>
        <w:spacing w:before="3"/>
        <w:ind w:left="0"/>
        <w:jc w:val="both"/>
      </w:pPr>
    </w:p>
    <w:p w:rsidR="00D71F17" w:rsidRPr="007B6127" w:rsidRDefault="008410C1" w:rsidP="002A07FC">
      <w:pPr>
        <w:pStyle w:val="Heading1"/>
        <w:jc w:val="both"/>
      </w:pPr>
      <w:r w:rsidRPr="007B6127">
        <w:t>Podstawa prawna:</w:t>
      </w:r>
    </w:p>
    <w:p w:rsidR="00D71F17" w:rsidRPr="007B6127" w:rsidRDefault="008410C1" w:rsidP="002A07FC">
      <w:pPr>
        <w:pStyle w:val="Akapitzlist"/>
        <w:numPr>
          <w:ilvl w:val="0"/>
          <w:numId w:val="1"/>
        </w:numPr>
        <w:tabs>
          <w:tab w:val="left" w:pos="380"/>
        </w:tabs>
        <w:ind w:left="115" w:right="111" w:firstLine="0"/>
        <w:jc w:val="both"/>
        <w:rPr>
          <w:sz w:val="24"/>
        </w:rPr>
      </w:pPr>
      <w:r w:rsidRPr="007B6127">
        <w:rPr>
          <w:sz w:val="24"/>
        </w:rPr>
        <w:t>Art. 98a, art. 144, art. 107 ustawy z dnia 21 sierpnia 1997 r. o gospodarce</w:t>
      </w:r>
      <w:r w:rsidR="00B94EB0">
        <w:rPr>
          <w:sz w:val="24"/>
        </w:rPr>
        <w:t xml:space="preserve"> nieruchomościami (Dz. U. z 2023</w:t>
      </w:r>
      <w:r w:rsidRPr="007B6127">
        <w:rPr>
          <w:sz w:val="24"/>
        </w:rPr>
        <w:t xml:space="preserve">r., poz. </w:t>
      </w:r>
      <w:r w:rsidR="00B94EB0">
        <w:rPr>
          <w:sz w:val="24"/>
        </w:rPr>
        <w:t>344</w:t>
      </w:r>
      <w:r w:rsidRPr="007B6127">
        <w:rPr>
          <w:sz w:val="24"/>
        </w:rPr>
        <w:t xml:space="preserve"> z późn.</w:t>
      </w:r>
      <w:r w:rsidRPr="007B6127">
        <w:rPr>
          <w:spacing w:val="2"/>
          <w:sz w:val="24"/>
        </w:rPr>
        <w:t xml:space="preserve"> </w:t>
      </w:r>
      <w:r w:rsidRPr="007B6127">
        <w:rPr>
          <w:sz w:val="24"/>
        </w:rPr>
        <w:t>zm.).</w:t>
      </w:r>
    </w:p>
    <w:p w:rsidR="00D71F17" w:rsidRPr="007B6127" w:rsidRDefault="008410C1" w:rsidP="002A07FC">
      <w:pPr>
        <w:pStyle w:val="Akapitzlist"/>
        <w:numPr>
          <w:ilvl w:val="0"/>
          <w:numId w:val="1"/>
        </w:numPr>
        <w:tabs>
          <w:tab w:val="left" w:pos="308"/>
        </w:tabs>
        <w:ind w:left="295" w:right="110" w:hanging="180"/>
        <w:jc w:val="both"/>
        <w:rPr>
          <w:sz w:val="24"/>
        </w:rPr>
      </w:pPr>
      <w:r w:rsidRPr="007B6127">
        <w:rPr>
          <w:sz w:val="24"/>
        </w:rPr>
        <w:t>Art. 104 ustawy z dnia 14 czerwca 1960 r. – Kodeks postępowania administracyjnego           (</w:t>
      </w:r>
      <w:r w:rsidR="00B94EB0">
        <w:rPr>
          <w:sz w:val="24"/>
        </w:rPr>
        <w:t xml:space="preserve"> Dz. U. z 2023r.,  poz. 775</w:t>
      </w:r>
      <w:r w:rsidRPr="007B6127">
        <w:rPr>
          <w:sz w:val="24"/>
        </w:rPr>
        <w:t xml:space="preserve"> z późn. zm.).</w:t>
      </w:r>
    </w:p>
    <w:sectPr w:rsidR="00D71F17" w:rsidRPr="007B6127" w:rsidSect="00D71F17"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4F11"/>
    <w:multiLevelType w:val="hybridMultilevel"/>
    <w:tmpl w:val="FE4C62C4"/>
    <w:lvl w:ilvl="0" w:tplc="83D29CE0">
      <w:start w:val="1"/>
      <w:numFmt w:val="decimal"/>
      <w:lvlText w:val="%1)"/>
      <w:lvlJc w:val="left"/>
      <w:pPr>
        <w:ind w:left="406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94E41CE">
      <w:numFmt w:val="bullet"/>
      <w:lvlText w:val="•"/>
      <w:lvlJc w:val="left"/>
      <w:pPr>
        <w:ind w:left="1290" w:hanging="291"/>
      </w:pPr>
      <w:rPr>
        <w:rFonts w:hint="default"/>
        <w:lang w:val="pl-PL" w:eastAsia="en-US" w:bidi="ar-SA"/>
      </w:rPr>
    </w:lvl>
    <w:lvl w:ilvl="2" w:tplc="0F50F266">
      <w:numFmt w:val="bullet"/>
      <w:lvlText w:val="•"/>
      <w:lvlJc w:val="left"/>
      <w:pPr>
        <w:ind w:left="2180" w:hanging="291"/>
      </w:pPr>
      <w:rPr>
        <w:rFonts w:hint="default"/>
        <w:lang w:val="pl-PL" w:eastAsia="en-US" w:bidi="ar-SA"/>
      </w:rPr>
    </w:lvl>
    <w:lvl w:ilvl="3" w:tplc="F3606F24">
      <w:numFmt w:val="bullet"/>
      <w:lvlText w:val="•"/>
      <w:lvlJc w:val="left"/>
      <w:pPr>
        <w:ind w:left="3070" w:hanging="291"/>
      </w:pPr>
      <w:rPr>
        <w:rFonts w:hint="default"/>
        <w:lang w:val="pl-PL" w:eastAsia="en-US" w:bidi="ar-SA"/>
      </w:rPr>
    </w:lvl>
    <w:lvl w:ilvl="4" w:tplc="2E1E9602">
      <w:numFmt w:val="bullet"/>
      <w:lvlText w:val="•"/>
      <w:lvlJc w:val="left"/>
      <w:pPr>
        <w:ind w:left="3960" w:hanging="291"/>
      </w:pPr>
      <w:rPr>
        <w:rFonts w:hint="default"/>
        <w:lang w:val="pl-PL" w:eastAsia="en-US" w:bidi="ar-SA"/>
      </w:rPr>
    </w:lvl>
    <w:lvl w:ilvl="5" w:tplc="4202C332">
      <w:numFmt w:val="bullet"/>
      <w:lvlText w:val="•"/>
      <w:lvlJc w:val="left"/>
      <w:pPr>
        <w:ind w:left="4850" w:hanging="291"/>
      </w:pPr>
      <w:rPr>
        <w:rFonts w:hint="default"/>
        <w:lang w:val="pl-PL" w:eastAsia="en-US" w:bidi="ar-SA"/>
      </w:rPr>
    </w:lvl>
    <w:lvl w:ilvl="6" w:tplc="024088FE">
      <w:numFmt w:val="bullet"/>
      <w:lvlText w:val="•"/>
      <w:lvlJc w:val="left"/>
      <w:pPr>
        <w:ind w:left="5740" w:hanging="291"/>
      </w:pPr>
      <w:rPr>
        <w:rFonts w:hint="default"/>
        <w:lang w:val="pl-PL" w:eastAsia="en-US" w:bidi="ar-SA"/>
      </w:rPr>
    </w:lvl>
    <w:lvl w:ilvl="7" w:tplc="F4BC7554">
      <w:numFmt w:val="bullet"/>
      <w:lvlText w:val="•"/>
      <w:lvlJc w:val="left"/>
      <w:pPr>
        <w:ind w:left="6630" w:hanging="291"/>
      </w:pPr>
      <w:rPr>
        <w:rFonts w:hint="default"/>
        <w:lang w:val="pl-PL" w:eastAsia="en-US" w:bidi="ar-SA"/>
      </w:rPr>
    </w:lvl>
    <w:lvl w:ilvl="8" w:tplc="8EB2D804">
      <w:numFmt w:val="bullet"/>
      <w:lvlText w:val="•"/>
      <w:lvlJc w:val="left"/>
      <w:pPr>
        <w:ind w:left="7520" w:hanging="291"/>
      </w:pPr>
      <w:rPr>
        <w:rFonts w:hint="default"/>
        <w:lang w:val="pl-PL" w:eastAsia="en-US" w:bidi="ar-SA"/>
      </w:rPr>
    </w:lvl>
  </w:abstractNum>
  <w:abstractNum w:abstractNumId="1">
    <w:nsid w:val="476A7A67"/>
    <w:multiLevelType w:val="hybridMultilevel"/>
    <w:tmpl w:val="4808D964"/>
    <w:lvl w:ilvl="0" w:tplc="7CC037F4">
      <w:start w:val="1"/>
      <w:numFmt w:val="decimal"/>
      <w:lvlText w:val="%1)"/>
      <w:lvlJc w:val="left"/>
      <w:pPr>
        <w:ind w:left="406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59C9854">
      <w:numFmt w:val="bullet"/>
      <w:lvlText w:val="•"/>
      <w:lvlJc w:val="left"/>
      <w:pPr>
        <w:ind w:left="1290" w:hanging="291"/>
      </w:pPr>
      <w:rPr>
        <w:rFonts w:hint="default"/>
        <w:lang w:val="pl-PL" w:eastAsia="en-US" w:bidi="ar-SA"/>
      </w:rPr>
    </w:lvl>
    <w:lvl w:ilvl="2" w:tplc="4B8499A6">
      <w:numFmt w:val="bullet"/>
      <w:lvlText w:val="•"/>
      <w:lvlJc w:val="left"/>
      <w:pPr>
        <w:ind w:left="2180" w:hanging="291"/>
      </w:pPr>
      <w:rPr>
        <w:rFonts w:hint="default"/>
        <w:lang w:val="pl-PL" w:eastAsia="en-US" w:bidi="ar-SA"/>
      </w:rPr>
    </w:lvl>
    <w:lvl w:ilvl="3" w:tplc="FECEEA06">
      <w:numFmt w:val="bullet"/>
      <w:lvlText w:val="•"/>
      <w:lvlJc w:val="left"/>
      <w:pPr>
        <w:ind w:left="3070" w:hanging="291"/>
      </w:pPr>
      <w:rPr>
        <w:rFonts w:hint="default"/>
        <w:lang w:val="pl-PL" w:eastAsia="en-US" w:bidi="ar-SA"/>
      </w:rPr>
    </w:lvl>
    <w:lvl w:ilvl="4" w:tplc="760AFFDA">
      <w:numFmt w:val="bullet"/>
      <w:lvlText w:val="•"/>
      <w:lvlJc w:val="left"/>
      <w:pPr>
        <w:ind w:left="3960" w:hanging="291"/>
      </w:pPr>
      <w:rPr>
        <w:rFonts w:hint="default"/>
        <w:lang w:val="pl-PL" w:eastAsia="en-US" w:bidi="ar-SA"/>
      </w:rPr>
    </w:lvl>
    <w:lvl w:ilvl="5" w:tplc="FD28AB28">
      <w:numFmt w:val="bullet"/>
      <w:lvlText w:val="•"/>
      <w:lvlJc w:val="left"/>
      <w:pPr>
        <w:ind w:left="4850" w:hanging="291"/>
      </w:pPr>
      <w:rPr>
        <w:rFonts w:hint="default"/>
        <w:lang w:val="pl-PL" w:eastAsia="en-US" w:bidi="ar-SA"/>
      </w:rPr>
    </w:lvl>
    <w:lvl w:ilvl="6" w:tplc="993AD3CE">
      <w:numFmt w:val="bullet"/>
      <w:lvlText w:val="•"/>
      <w:lvlJc w:val="left"/>
      <w:pPr>
        <w:ind w:left="5740" w:hanging="291"/>
      </w:pPr>
      <w:rPr>
        <w:rFonts w:hint="default"/>
        <w:lang w:val="pl-PL" w:eastAsia="en-US" w:bidi="ar-SA"/>
      </w:rPr>
    </w:lvl>
    <w:lvl w:ilvl="7" w:tplc="2D1CD0CE">
      <w:numFmt w:val="bullet"/>
      <w:lvlText w:val="•"/>
      <w:lvlJc w:val="left"/>
      <w:pPr>
        <w:ind w:left="6630" w:hanging="291"/>
      </w:pPr>
      <w:rPr>
        <w:rFonts w:hint="default"/>
        <w:lang w:val="pl-PL" w:eastAsia="en-US" w:bidi="ar-SA"/>
      </w:rPr>
    </w:lvl>
    <w:lvl w:ilvl="8" w:tplc="0478D0A8">
      <w:numFmt w:val="bullet"/>
      <w:lvlText w:val="•"/>
      <w:lvlJc w:val="left"/>
      <w:pPr>
        <w:ind w:left="7520" w:hanging="291"/>
      </w:pPr>
      <w:rPr>
        <w:rFonts w:hint="default"/>
        <w:lang w:val="pl-PL" w:eastAsia="en-US" w:bidi="ar-SA"/>
      </w:rPr>
    </w:lvl>
  </w:abstractNum>
  <w:abstractNum w:abstractNumId="2">
    <w:nsid w:val="6F0C6BD9"/>
    <w:multiLevelType w:val="hybridMultilevel"/>
    <w:tmpl w:val="A27035C2"/>
    <w:lvl w:ilvl="0" w:tplc="C3622D56">
      <w:numFmt w:val="bullet"/>
      <w:lvlText w:val="-"/>
      <w:lvlJc w:val="left"/>
      <w:pPr>
        <w:ind w:left="116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DAA15FA">
      <w:numFmt w:val="bullet"/>
      <w:lvlText w:val="•"/>
      <w:lvlJc w:val="left"/>
      <w:pPr>
        <w:ind w:left="1038" w:hanging="264"/>
      </w:pPr>
      <w:rPr>
        <w:rFonts w:hint="default"/>
        <w:lang w:val="pl-PL" w:eastAsia="en-US" w:bidi="ar-SA"/>
      </w:rPr>
    </w:lvl>
    <w:lvl w:ilvl="2" w:tplc="87624B62">
      <w:numFmt w:val="bullet"/>
      <w:lvlText w:val="•"/>
      <w:lvlJc w:val="left"/>
      <w:pPr>
        <w:ind w:left="1956" w:hanging="264"/>
      </w:pPr>
      <w:rPr>
        <w:rFonts w:hint="default"/>
        <w:lang w:val="pl-PL" w:eastAsia="en-US" w:bidi="ar-SA"/>
      </w:rPr>
    </w:lvl>
    <w:lvl w:ilvl="3" w:tplc="4B3E023C">
      <w:numFmt w:val="bullet"/>
      <w:lvlText w:val="•"/>
      <w:lvlJc w:val="left"/>
      <w:pPr>
        <w:ind w:left="2874" w:hanging="264"/>
      </w:pPr>
      <w:rPr>
        <w:rFonts w:hint="default"/>
        <w:lang w:val="pl-PL" w:eastAsia="en-US" w:bidi="ar-SA"/>
      </w:rPr>
    </w:lvl>
    <w:lvl w:ilvl="4" w:tplc="F9C0BE56">
      <w:numFmt w:val="bullet"/>
      <w:lvlText w:val="•"/>
      <w:lvlJc w:val="left"/>
      <w:pPr>
        <w:ind w:left="3792" w:hanging="264"/>
      </w:pPr>
      <w:rPr>
        <w:rFonts w:hint="default"/>
        <w:lang w:val="pl-PL" w:eastAsia="en-US" w:bidi="ar-SA"/>
      </w:rPr>
    </w:lvl>
    <w:lvl w:ilvl="5" w:tplc="9EAEDF0A">
      <w:numFmt w:val="bullet"/>
      <w:lvlText w:val="•"/>
      <w:lvlJc w:val="left"/>
      <w:pPr>
        <w:ind w:left="4710" w:hanging="264"/>
      </w:pPr>
      <w:rPr>
        <w:rFonts w:hint="default"/>
        <w:lang w:val="pl-PL" w:eastAsia="en-US" w:bidi="ar-SA"/>
      </w:rPr>
    </w:lvl>
    <w:lvl w:ilvl="6" w:tplc="08A2A504">
      <w:numFmt w:val="bullet"/>
      <w:lvlText w:val="•"/>
      <w:lvlJc w:val="left"/>
      <w:pPr>
        <w:ind w:left="5628" w:hanging="264"/>
      </w:pPr>
      <w:rPr>
        <w:rFonts w:hint="default"/>
        <w:lang w:val="pl-PL" w:eastAsia="en-US" w:bidi="ar-SA"/>
      </w:rPr>
    </w:lvl>
    <w:lvl w:ilvl="7" w:tplc="F3CA12F0">
      <w:numFmt w:val="bullet"/>
      <w:lvlText w:val="•"/>
      <w:lvlJc w:val="left"/>
      <w:pPr>
        <w:ind w:left="6546" w:hanging="264"/>
      </w:pPr>
      <w:rPr>
        <w:rFonts w:hint="default"/>
        <w:lang w:val="pl-PL" w:eastAsia="en-US" w:bidi="ar-SA"/>
      </w:rPr>
    </w:lvl>
    <w:lvl w:ilvl="8" w:tplc="BF02639E">
      <w:numFmt w:val="bullet"/>
      <w:lvlText w:val="•"/>
      <w:lvlJc w:val="left"/>
      <w:pPr>
        <w:ind w:left="7464" w:hanging="264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71F17"/>
    <w:rsid w:val="001F7561"/>
    <w:rsid w:val="002A07FC"/>
    <w:rsid w:val="007B6127"/>
    <w:rsid w:val="008410C1"/>
    <w:rsid w:val="00A02020"/>
    <w:rsid w:val="00A42AB2"/>
    <w:rsid w:val="00B061C4"/>
    <w:rsid w:val="00B94EB0"/>
    <w:rsid w:val="00D7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71F17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1F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71F17"/>
    <w:pPr>
      <w:ind w:left="115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D71F17"/>
    <w:pPr>
      <w:spacing w:line="274" w:lineRule="exact"/>
      <w:ind w:left="115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D71F17"/>
    <w:pPr>
      <w:ind w:left="406" w:hanging="292"/>
    </w:pPr>
  </w:style>
  <w:style w:type="paragraph" w:customStyle="1" w:styleId="TableParagraph">
    <w:name w:val="Table Paragraph"/>
    <w:basedOn w:val="Normalny"/>
    <w:uiPriority w:val="1"/>
    <w:qFormat/>
    <w:rsid w:val="00D71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2015 GN-Opłaty adiacenckie</vt:lpstr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GN-Opłaty adiacenckie</dc:title>
  <dc:creator>alisowska</dc:creator>
  <cp:lastModifiedBy>pomocgn</cp:lastModifiedBy>
  <cp:revision>5</cp:revision>
  <dcterms:created xsi:type="dcterms:W3CDTF">2021-12-23T09:24:00Z</dcterms:created>
  <dcterms:modified xsi:type="dcterms:W3CDTF">2023-11-07T09:58:00Z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2015-08-09T00:00:00Z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2020-06-23T00:00:00Z</vt:filetime>
  </property>
</Properties>
</file>